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  <w:bookmarkStart w:id="0" w:name="_GoBack"/>
      <w:bookmarkEnd w:id="0"/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693-нп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ТАРИФАХ НА ТЕПЛОВУЮ ЭНЕРГИЮ, ОТПУСКАЕМУЮ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 УНИТАРНЫМ ПРЕДПРИЯТИЕМ "ГОРЭНЕРГО"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ПОТРЕБИТЕЛЕЙ ГОРОДСКОГО ОКРУГА ГОРОД ТОРЖОК, НА 2013 ГОД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1. Установить тарифы на тепловую энергию, отпускаемую муниципальным унитарным предприятием "Горэнерго" для потребителей городского округа город Торжок, с календарной разбивкой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w:anchor="Par11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01.01.2013.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693-нп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Тарифы на тепловую энергию,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отпускаемую</w:t>
      </w:r>
      <w:proofErr w:type="gramEnd"/>
      <w:r>
        <w:rPr>
          <w:rFonts w:ascii="Calibri" w:hAnsi="Calibri" w:cs="Calibri"/>
        </w:rPr>
        <w:t xml:space="preserve"> муниципальным унитарным предприятием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"Горэнерго" для потребителей городского округа город Торжок,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января по 30 июня 2013 года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1171,70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1382,61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0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3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декабря 2012 г. N 693-нп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>Тарифы на тепловую энергию,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отпускаемую</w:t>
      </w:r>
      <w:proofErr w:type="gramEnd"/>
      <w:r>
        <w:rPr>
          <w:rFonts w:ascii="Calibri" w:hAnsi="Calibri" w:cs="Calibri"/>
        </w:rPr>
        <w:t xml:space="preserve"> муниципальным унитарным предприятием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"Горэнерго" для потребителей городского округа город Торжок,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1 июля по 31 декабря 2013 года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972"/>
        <w:gridCol w:w="864"/>
        <w:gridCol w:w="864"/>
        <w:gridCol w:w="864"/>
        <w:gridCol w:w="864"/>
        <w:gridCol w:w="1728"/>
      </w:tblGrid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Тариф на тепловую энергию       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вода 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отборный пар давлением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острый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редуцированный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пар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1,2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2,5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7,0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13,0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кг/кв.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см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и  передачу  тепловой  энергии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(без учета НДС)                                                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1345,17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1587,30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2.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Потребители, оплачивающие производство тепловой  энергии  (получающие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тепловую энергию на коллекторах производителей) (без учета НДС)      </w:t>
            </w: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Население (тарифы указываются с учетом НДС)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       энергию,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руб./Гкал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D3B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 мощность,  тыс.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руб.            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3B" w:rsidRDefault="00082D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 и (или)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62(3)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109.</w:t>
      </w: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2D3B" w:rsidRDefault="00082D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082D3B"/>
    <w:sectPr w:rsidR="00A53C54" w:rsidSect="000D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3B"/>
    <w:rsid w:val="00082D3B"/>
    <w:rsid w:val="004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2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82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56D80D8B6FA04AE245D9704BEC5D2363DAF3A9248FE058B4F4A1363A3868F16D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A56D80D8B6FA04AE24439A12D29FDC3135F6339F47F050D610114E341ADAM" TargetMode="External"/><Relationship Id="rId12" Type="http://schemas.openxmlformats.org/officeDocument/2006/relationships/hyperlink" Target="consultantplus://offline/ref=08A56D80D8B6FA04AE24439A12D29FDC3132F8369746F050D610114E34AA8CD82C7A3BFF091DD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A56D80D8B6FA04AE24439A12D29FDC3132F8369746F050D610114E341ADAM" TargetMode="External"/><Relationship Id="rId11" Type="http://schemas.openxmlformats.org/officeDocument/2006/relationships/hyperlink" Target="consultantplus://offline/ref=08A56D80D8B6FA04AE24439A12D29FDC3132F830934BF050D610114E34AA8CD82C7A3BFF09D2830B14DAM" TargetMode="External"/><Relationship Id="rId5" Type="http://schemas.openxmlformats.org/officeDocument/2006/relationships/hyperlink" Target="consultantplus://offline/ref=08A56D80D8B6FA04AE24439A12D29FDC3132F7359F4BF050D610114E341ADAM" TargetMode="External"/><Relationship Id="rId10" Type="http://schemas.openxmlformats.org/officeDocument/2006/relationships/hyperlink" Target="consultantplus://offline/ref=08A56D80D8B6FA04AE24439A12D29FDC3132F8369746F050D610114E34AA8CD82C7A3BFF091DD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56D80D8B6FA04AE24439A12D29FDC3132F830934BF050D610114E34AA8CD82C7A3BFF09D2830B14D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2013-08-12T12:03:00Z</dcterms:created>
  <dcterms:modified xsi:type="dcterms:W3CDTF">2013-08-12T12:08:00Z</dcterms:modified>
</cp:coreProperties>
</file>